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23D23F3" w:rsidR="00A209D6" w:rsidRPr="00AF2523"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01F53">
        <w:rPr>
          <w:bCs/>
          <w:noProof w:val="0"/>
          <w:sz w:val="24"/>
          <w:szCs w:val="24"/>
        </w:rPr>
        <w:t>7</w:t>
      </w:r>
      <w:r w:rsidRPr="00B266B0">
        <w:rPr>
          <w:bCs/>
          <w:noProof w:val="0"/>
          <w:sz w:val="24"/>
          <w:szCs w:val="24"/>
        </w:rPr>
        <w:tab/>
      </w:r>
      <w:r w:rsidRPr="00AF2523">
        <w:rPr>
          <w:rFonts w:hint="eastAsia"/>
          <w:bCs/>
          <w:noProof w:val="0"/>
          <w:sz w:val="24"/>
          <w:szCs w:val="24"/>
        </w:rPr>
        <w:t>R</w:t>
      </w:r>
      <w:r w:rsidRPr="00AF2523">
        <w:rPr>
          <w:bCs/>
          <w:noProof w:val="0"/>
          <w:sz w:val="24"/>
          <w:szCs w:val="24"/>
        </w:rPr>
        <w:t>2</w:t>
      </w:r>
      <w:r w:rsidRPr="00AF2523">
        <w:rPr>
          <w:rFonts w:hint="eastAsia"/>
          <w:bCs/>
          <w:noProof w:val="0"/>
          <w:sz w:val="24"/>
          <w:szCs w:val="24"/>
        </w:rPr>
        <w:t>-</w:t>
      </w:r>
      <w:r w:rsidRPr="00AF2523">
        <w:rPr>
          <w:bCs/>
          <w:noProof w:val="0"/>
          <w:sz w:val="24"/>
          <w:szCs w:val="24"/>
        </w:rPr>
        <w:t>19</w:t>
      </w:r>
      <w:r w:rsidR="00AF2523" w:rsidRPr="00AF2523">
        <w:rPr>
          <w:bCs/>
          <w:noProof w:val="0"/>
          <w:sz w:val="24"/>
          <w:szCs w:val="24"/>
        </w:rPr>
        <w:t>09313</w:t>
      </w:r>
    </w:p>
    <w:p w14:paraId="11776FA6" w14:textId="7E98C9A9"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437949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2523">
        <w:rPr>
          <w:rFonts w:cs="Arial"/>
          <w:b/>
          <w:bCs/>
          <w:sz w:val="24"/>
        </w:rPr>
        <w:t>11.2.2.2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42E36BE" w14:textId="2BC0E5B2" w:rsidR="00266A8C"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6A8C">
        <w:rPr>
          <w:rFonts w:ascii="Arial" w:hAnsi="Arial" w:cs="Arial"/>
          <w:b/>
          <w:bCs/>
          <w:sz w:val="24"/>
        </w:rPr>
        <w:tab/>
        <w:t xml:space="preserve">Considerations on </w:t>
      </w:r>
      <w:r w:rsidR="00582064">
        <w:rPr>
          <w:rFonts w:ascii="Arial" w:hAnsi="Arial" w:cs="Arial"/>
          <w:b/>
          <w:bCs/>
          <w:sz w:val="24"/>
        </w:rPr>
        <w:t xml:space="preserve">measurement gaps and </w:t>
      </w:r>
      <w:r w:rsidR="00266A8C">
        <w:rPr>
          <w:rFonts w:ascii="Arial" w:hAnsi="Arial" w:cs="Arial"/>
          <w:b/>
          <w:bCs/>
          <w:sz w:val="24"/>
        </w:rPr>
        <w:t>the support of asynchronous deployments</w:t>
      </w:r>
      <w:r w:rsidR="00177263">
        <w:rPr>
          <w:rFonts w:ascii="Arial" w:hAnsi="Arial" w:cs="Arial"/>
          <w:b/>
          <w:bCs/>
          <w:sz w:val="24"/>
        </w:rPr>
        <w:t xml:space="preserve"> in NR-U</w:t>
      </w:r>
    </w:p>
    <w:p w14:paraId="1F147C23" w14:textId="3D157D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01F53">
        <w:rPr>
          <w:rFonts w:ascii="Arial" w:hAnsi="Arial" w:cs="Arial"/>
          <w:b/>
          <w:bCs/>
          <w:sz w:val="24"/>
        </w:rPr>
        <w:t>NR-U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2B79C4D" w14:textId="739170CB" w:rsidR="00F01F53" w:rsidRDefault="00F01F53" w:rsidP="00F01F53">
      <w:bookmarkStart w:id="0" w:name="_Hlk536529808"/>
      <w:r>
        <w:t xml:space="preserve">In this contribution we discuss one of the proposed enhancements for increasing robustness in connected mode mobility. We also address </w:t>
      </w:r>
      <w:r w:rsidR="009F5462">
        <w:t>measurements in asynchronous deployments for acquiring neighbours of other PLMNs, neighbour timing of cell of the own network, and measurements for mobility</w:t>
      </w:r>
      <w:r>
        <w:t>.</w:t>
      </w:r>
    </w:p>
    <w:p w14:paraId="38F41D86" w14:textId="77777777" w:rsidR="00F01F53" w:rsidRPr="006E13D1" w:rsidRDefault="00F01F53" w:rsidP="00F01F53">
      <w:pPr>
        <w:pStyle w:val="Heading1"/>
      </w:pPr>
      <w:r w:rsidRPr="006E13D1">
        <w:t>2</w:t>
      </w:r>
      <w:r w:rsidRPr="006E13D1">
        <w:tab/>
      </w:r>
      <w:r>
        <w:t>Discussion</w:t>
      </w:r>
    </w:p>
    <w:p w14:paraId="081D7892" w14:textId="77777777" w:rsidR="00F01F53" w:rsidRDefault="00F01F53" w:rsidP="00F01F53">
      <w:pPr>
        <w:pStyle w:val="Heading2"/>
      </w:pPr>
      <w:r>
        <w:t>2.1</w:t>
      </w:r>
      <w:r>
        <w:tab/>
        <w:t>Robustness for Mobility Procedures</w:t>
      </w:r>
    </w:p>
    <w:p w14:paraId="6DA7392D" w14:textId="3ACF5FA8" w:rsidR="00F01F53" w:rsidRDefault="00F01F53" w:rsidP="00BE3621">
      <w:pPr>
        <w:jc w:val="both"/>
      </w:pPr>
      <w:r>
        <w:t xml:space="preserve">The NR-U WID [1] states that the mobility procedures to be designed shall support standalone NR-U deployments. In order to mitigate the impact of LBT on the CP, it has been discussed to introduce conditional HO (CHO), which is presently standardized for LTE and for NR. </w:t>
      </w:r>
    </w:p>
    <w:p w14:paraId="43495FC5" w14:textId="77777777" w:rsidR="00F01F53" w:rsidRDefault="00F01F53" w:rsidP="00BE3621">
      <w:pPr>
        <w:jc w:val="both"/>
      </w:pPr>
      <w:r>
        <w:t>Our view is that the applicability to NR-U and possible NR-U specific enhancements of CHO should only be investigated after the concepts and the procedures for CHO have been agreed in NR mobility enhancements work item, to avoid parallel work.</w:t>
      </w:r>
    </w:p>
    <w:p w14:paraId="70EBDC1C" w14:textId="25AA3BD6" w:rsidR="00F01F53" w:rsidRPr="0072196C" w:rsidRDefault="00F01F53" w:rsidP="00BE3621">
      <w:pPr>
        <w:jc w:val="both"/>
        <w:rPr>
          <w:b/>
        </w:rPr>
      </w:pPr>
      <w:r w:rsidRPr="0072196C">
        <w:rPr>
          <w:b/>
          <w:bCs/>
        </w:rPr>
        <w:t>Proposal 1:</w:t>
      </w:r>
      <w:r w:rsidRPr="0072196C">
        <w:rPr>
          <w:b/>
        </w:rPr>
        <w:t xml:space="preserve"> Address conditional handover (CHO) in NR-U towards the end of the WI, to allow to reuse the decisions and agreements concerning CHO made in NR mobility enhancements work item.</w:t>
      </w:r>
    </w:p>
    <w:p w14:paraId="31EA0E29" w14:textId="023681D3" w:rsidR="00610931" w:rsidRDefault="00F83563" w:rsidP="00A5348A">
      <w:pPr>
        <w:pStyle w:val="Heading2"/>
      </w:pPr>
      <w:bookmarkStart w:id="1" w:name="_Hlk4588383"/>
      <w:r>
        <w:t>2.</w:t>
      </w:r>
      <w:r w:rsidR="00BE3621">
        <w:t>2</w:t>
      </w:r>
      <w:r>
        <w:t xml:space="preserve"> </w:t>
      </w:r>
      <w:r w:rsidR="00AA421B">
        <w:tab/>
        <w:t>Clarification on a</w:t>
      </w:r>
      <w:r w:rsidR="00F56E03" w:rsidRPr="00A5348A">
        <w:t>synchronous</w:t>
      </w:r>
      <w:r w:rsidR="00F56E03">
        <w:t xml:space="preserve"> deployment </w:t>
      </w:r>
    </w:p>
    <w:p w14:paraId="61B28524" w14:textId="3166CAD6" w:rsidR="00610931" w:rsidRDefault="00D07ECD" w:rsidP="00BE3621">
      <w:pPr>
        <w:jc w:val="both"/>
      </w:pPr>
      <w:r>
        <w:t xml:space="preserve">The </w:t>
      </w:r>
      <w:r w:rsidR="00BF0E4C">
        <w:t>TR [38.889] of the NR-U SI asked for</w:t>
      </w:r>
      <w:r w:rsidR="00610931">
        <w:t xml:space="preserve"> </w:t>
      </w:r>
      <w:r w:rsidR="00F01F53">
        <w:t xml:space="preserve">NR-U </w:t>
      </w:r>
      <w:r w:rsidR="00BF0E4C">
        <w:t xml:space="preserve">to </w:t>
      </w:r>
      <w:r w:rsidR="00F01F53">
        <w:t>support</w:t>
      </w:r>
      <w:r w:rsidR="00F01F53" w:rsidRPr="004E42D0">
        <w:t xml:space="preserve"> </w:t>
      </w:r>
      <w:r w:rsidR="00F01F53">
        <w:t>asynchronous deployments</w:t>
      </w:r>
      <w:r w:rsidR="00BF0E4C">
        <w:t xml:space="preserve"> (we note that the WI description [RP-191575] does not make any mention of the same).</w:t>
      </w:r>
      <w:r w:rsidR="00BE3621">
        <w:t xml:space="preserve"> </w:t>
      </w:r>
      <w:r w:rsidR="00610931">
        <w:t>“Asynchronous cells” in general will mean</w:t>
      </w:r>
      <w:r w:rsidR="00BE3621">
        <w:t>:</w:t>
      </w:r>
    </w:p>
    <w:p w14:paraId="5DAEE79C" w14:textId="6B17260E" w:rsidR="00610931" w:rsidRDefault="00610931" w:rsidP="00BE3621">
      <w:pPr>
        <w:pStyle w:val="ListParagraph"/>
        <w:numPr>
          <w:ilvl w:val="0"/>
          <w:numId w:val="9"/>
        </w:numPr>
        <w:jc w:val="both"/>
      </w:pPr>
      <w:r>
        <w:t>slot boundaries are not aligned</w:t>
      </w:r>
      <w:r w:rsidR="00F83563">
        <w:t>,</w:t>
      </w:r>
    </w:p>
    <w:p w14:paraId="53049E4B" w14:textId="721BD4A1" w:rsidR="00610931" w:rsidRDefault="00610931" w:rsidP="00BE3621">
      <w:pPr>
        <w:pStyle w:val="ListParagraph"/>
        <w:numPr>
          <w:ilvl w:val="0"/>
          <w:numId w:val="9"/>
        </w:numPr>
        <w:jc w:val="both"/>
      </w:pPr>
      <w:r>
        <w:t>frame boundaries are not aligned</w:t>
      </w:r>
      <w:r w:rsidR="00F83563">
        <w:t>,</w:t>
      </w:r>
    </w:p>
    <w:p w14:paraId="70D4675F" w14:textId="45B7E9A5" w:rsidR="00610931" w:rsidRDefault="00610931" w:rsidP="00BE3621">
      <w:pPr>
        <w:pStyle w:val="ListParagraph"/>
        <w:numPr>
          <w:ilvl w:val="0"/>
          <w:numId w:val="9"/>
        </w:numPr>
        <w:ind w:left="714" w:hanging="357"/>
        <w:contextualSpacing w:val="0"/>
        <w:jc w:val="both"/>
      </w:pPr>
      <w:r>
        <w:t xml:space="preserve">SFN </w:t>
      </w:r>
      <w:r w:rsidR="00F83563">
        <w:t xml:space="preserve">of the cells is </w:t>
      </w:r>
      <w:r>
        <w:t>different</w:t>
      </w:r>
      <w:r w:rsidR="00F83563">
        <w:t>.</w:t>
      </w:r>
    </w:p>
    <w:p w14:paraId="6EFAD7C3" w14:textId="2CF24496" w:rsidR="003D5362" w:rsidRDefault="00610931" w:rsidP="00BE3621">
      <w:pPr>
        <w:jc w:val="both"/>
      </w:pPr>
      <w:r>
        <w:t xml:space="preserve">In EN-DC, the asynchronous deployment has been captured in 38.133 section 7.5, where the UE is required to be able to transmit to or receive from two cells with arbitrary slot boundary alignment. Further, </w:t>
      </w:r>
      <w:r w:rsidR="003D5362">
        <w:t xml:space="preserve">SFTD </w:t>
      </w:r>
      <w:r>
        <w:t xml:space="preserve">UE measurements reporting a boundary offset as well an SFN of the neighbour have been introduced. We note that </w:t>
      </w:r>
      <w:r w:rsidR="003D5362">
        <w:t xml:space="preserve">those measurements have not been introduced for </w:t>
      </w:r>
      <w:r w:rsidR="00BE3621">
        <w:t xml:space="preserve">SA </w:t>
      </w:r>
      <w:r w:rsidR="003D5362">
        <w:t>NR</w:t>
      </w:r>
      <w:r w:rsidR="00BE3621">
        <w:t xml:space="preserve"> </w:t>
      </w:r>
      <w:r w:rsidR="003D5362">
        <w:t xml:space="preserve">and </w:t>
      </w:r>
      <w:r w:rsidR="00264ACA">
        <w:t xml:space="preserve">have </w:t>
      </w:r>
      <w:r w:rsidR="003D5362">
        <w:t xml:space="preserve">not </w:t>
      </w:r>
      <w:r w:rsidR="00264ACA">
        <w:t xml:space="preserve">been </w:t>
      </w:r>
      <w:r w:rsidR="003D5362">
        <w:t>discussed for cases different from EN-DC.</w:t>
      </w:r>
    </w:p>
    <w:p w14:paraId="66B29D7C" w14:textId="77777777" w:rsidR="00AF2523" w:rsidRDefault="007A725C" w:rsidP="00AA421B">
      <w:pPr>
        <w:jc w:val="both"/>
      </w:pPr>
      <w:r>
        <w:t xml:space="preserve">In NR-U, we may refer with “asynchronous scenario” to a situation where the gNB does not know its neighbour’s DRS timing. In that sense, an asynchronous scenario is present with respect to </w:t>
      </w:r>
    </w:p>
    <w:p w14:paraId="01519EBD" w14:textId="653DFB11" w:rsidR="00AF2523" w:rsidRDefault="007A725C" w:rsidP="00AA421B">
      <w:pPr>
        <w:jc w:val="both"/>
      </w:pPr>
      <w:r>
        <w:t xml:space="preserve">a) measuring another PLMN’s </w:t>
      </w:r>
      <w:r w:rsidR="00CC66CD">
        <w:t>or the own network</w:t>
      </w:r>
      <w:r w:rsidR="002F6722">
        <w:t>’</w:t>
      </w:r>
      <w:r w:rsidR="00CC66CD">
        <w:t xml:space="preserve">s </w:t>
      </w:r>
      <w:r>
        <w:t>cells for the purpose of PCI collision/confusion avoidance</w:t>
      </w:r>
      <w:r w:rsidR="00AF2523">
        <w:t>,</w:t>
      </w:r>
      <w:r>
        <w:t xml:space="preserve"> and </w:t>
      </w:r>
    </w:p>
    <w:p w14:paraId="0A374BB5" w14:textId="124D3178" w:rsidR="007A725C" w:rsidRDefault="007A725C" w:rsidP="00AA421B">
      <w:pPr>
        <w:jc w:val="both"/>
      </w:pPr>
      <w:r>
        <w:t>b) measuring the neighbour</w:t>
      </w:r>
      <w:r w:rsidR="00230362">
        <w:t xml:space="preserve"> cell</w:t>
      </w:r>
      <w:r>
        <w:t xml:space="preserve">s </w:t>
      </w:r>
      <w:r w:rsidR="00CC66CD">
        <w:t>for the purpose of mobility</w:t>
      </w:r>
      <w:r w:rsidR="002F6722">
        <w:t>.</w:t>
      </w:r>
      <w:r>
        <w:t xml:space="preserve"> </w:t>
      </w:r>
    </w:p>
    <w:p w14:paraId="3D325940" w14:textId="481A1B40" w:rsidR="00F74D61" w:rsidRDefault="00F56E03" w:rsidP="002F6722">
      <w:pPr>
        <w:pStyle w:val="Heading3"/>
      </w:pPr>
      <w:bookmarkStart w:id="2" w:name="_Hlk4588504"/>
      <w:r>
        <w:lastRenderedPageBreak/>
        <w:t>2.</w:t>
      </w:r>
      <w:r w:rsidR="00230362">
        <w:t>2.1</w:t>
      </w:r>
      <w:r>
        <w:tab/>
      </w:r>
      <w:r w:rsidR="00AA421B">
        <w:t>M</w:t>
      </w:r>
      <w:r>
        <w:t>easur</w:t>
      </w:r>
      <w:r w:rsidR="00CC66CD">
        <w:t>ing asynchronous cells for ANR</w:t>
      </w:r>
      <w:bookmarkEnd w:id="2"/>
    </w:p>
    <w:p w14:paraId="4A27C6E3" w14:textId="4F67DA5E" w:rsidR="00F74D61" w:rsidRDefault="00F74D61" w:rsidP="00F83563">
      <w:r>
        <w:t xml:space="preserve">When setting up a new cell in unlicensed spectrum it will be important to have performed neighbour cell measurements revealing already deployed PCIs. This applies primarily to find </w:t>
      </w:r>
      <w:r w:rsidR="007E4D8C">
        <w:t xml:space="preserve">PCIs and </w:t>
      </w:r>
      <w:r>
        <w:t>C</w:t>
      </w:r>
      <w:r w:rsidR="002A5299">
        <w:t>G</w:t>
      </w:r>
      <w:r>
        <w:t xml:space="preserve">Is of other </w:t>
      </w:r>
      <w:proofErr w:type="gramStart"/>
      <w:r>
        <w:t>PLMNs</w:t>
      </w:r>
      <w:r w:rsidR="008577FA">
        <w:t xml:space="preserve">, </w:t>
      </w:r>
      <w:r>
        <w:t>but</w:t>
      </w:r>
      <w:proofErr w:type="gramEnd"/>
      <w:r>
        <w:t xml:space="preserve"> </w:t>
      </w:r>
      <w:r w:rsidR="008577FA">
        <w:t xml:space="preserve">may </w:t>
      </w:r>
      <w:r>
        <w:t xml:space="preserve">also </w:t>
      </w:r>
      <w:r w:rsidR="007E4D8C">
        <w:t xml:space="preserve">be required to find </w:t>
      </w:r>
      <w:r w:rsidR="008577FA">
        <w:t xml:space="preserve">cells </w:t>
      </w:r>
      <w:r w:rsidR="007E4D8C">
        <w:t>of</w:t>
      </w:r>
      <w:r w:rsidR="008577FA">
        <w:t xml:space="preserve"> </w:t>
      </w:r>
      <w:r>
        <w:t xml:space="preserve">the own network, </w:t>
      </w:r>
      <w:r w:rsidR="007E4D8C">
        <w:t>e.g. to support</w:t>
      </w:r>
      <w:r>
        <w:t xml:space="preserve"> ad-hoc </w:t>
      </w:r>
      <w:r w:rsidR="007E4D8C">
        <w:t>deployment</w:t>
      </w:r>
      <w:r>
        <w:t xml:space="preserve"> of cells. The </w:t>
      </w:r>
      <w:r w:rsidR="007E4D8C">
        <w:t xml:space="preserve">initial step of </w:t>
      </w:r>
      <w:r>
        <w:t xml:space="preserve">discovery can be carried out by </w:t>
      </w:r>
      <w:proofErr w:type="spellStart"/>
      <w:r>
        <w:t>gNBs</w:t>
      </w:r>
      <w:proofErr w:type="spellEnd"/>
      <w:r>
        <w:t xml:space="preserve">, but </w:t>
      </w:r>
      <w:r w:rsidR="007E4D8C">
        <w:t xml:space="preserve">discovery of </w:t>
      </w:r>
      <w:r w:rsidR="00230362">
        <w:t xml:space="preserve">neighbour </w:t>
      </w:r>
      <w:r w:rsidR="007E4D8C">
        <w:t xml:space="preserve">cells </w:t>
      </w:r>
      <w:r w:rsidR="00230362">
        <w:t xml:space="preserve">that </w:t>
      </w:r>
      <w:r w:rsidR="007E4D8C">
        <w:t xml:space="preserve">cannot be detected by the gNB requires </w:t>
      </w:r>
      <w:r>
        <w:t xml:space="preserve">UE measurements. </w:t>
      </w:r>
    </w:p>
    <w:p w14:paraId="716CCAA4" w14:textId="15D5AD72" w:rsidR="00C07963" w:rsidRDefault="00F74D61" w:rsidP="004B02C2">
      <w:pPr>
        <w:jc w:val="both"/>
      </w:pPr>
      <w:r>
        <w:t xml:space="preserve">As the detection of new cells </w:t>
      </w:r>
      <w:r w:rsidR="008577FA">
        <w:t xml:space="preserve">for ANR purposes </w:t>
      </w:r>
      <w:r>
        <w:t xml:space="preserve">is </w:t>
      </w:r>
      <w:r w:rsidR="00473465">
        <w:t>– c</w:t>
      </w:r>
      <w:r>
        <w:t xml:space="preserve">ompared to mobility measurements </w:t>
      </w:r>
      <w:r w:rsidR="00473465">
        <w:t xml:space="preserve">– </w:t>
      </w:r>
      <w:r>
        <w:t xml:space="preserve">not time critical, </w:t>
      </w:r>
      <w:r w:rsidR="00C07963">
        <w:t xml:space="preserve">it will be </w:t>
      </w:r>
      <w:proofErr w:type="gramStart"/>
      <w:r w:rsidR="00C07963">
        <w:t>sufficient</w:t>
      </w:r>
      <w:proofErr w:type="gramEnd"/>
      <w:r w:rsidR="00C07963">
        <w:t xml:space="preserve"> to use the mechanisms present in Rel</w:t>
      </w:r>
      <w:r w:rsidR="008577FA">
        <w:t>-</w:t>
      </w:r>
      <w:r w:rsidR="00C07963">
        <w:t xml:space="preserve">15: </w:t>
      </w:r>
      <w:r w:rsidR="002F6722">
        <w:t>A</w:t>
      </w:r>
      <w:r w:rsidR="00C07963">
        <w:t xml:space="preserve"> UE is provided via RRC with a measurement configuration and may be asked to report also the CGI. In order to scan the whole range of possible SSB</w:t>
      </w:r>
      <w:r w:rsidR="008577FA">
        <w:t>s</w:t>
      </w:r>
      <w:r w:rsidR="00C07963">
        <w:t xml:space="preserve"> timing</w:t>
      </w:r>
      <w:r w:rsidR="002A5299">
        <w:t>,</w:t>
      </w:r>
      <w:r w:rsidR="00C07963">
        <w:t xml:space="preserve"> the UE may be reconfigured successively with different measurement configurations.</w:t>
      </w:r>
      <w:r w:rsidR="002A5299">
        <w:t xml:space="preserve"> </w:t>
      </w:r>
    </w:p>
    <w:p w14:paraId="778DA04F" w14:textId="7BE3ECC0" w:rsidR="0072196C" w:rsidRPr="00134A77" w:rsidRDefault="0072196C" w:rsidP="0072196C">
      <w:pPr>
        <w:jc w:val="both"/>
        <w:rPr>
          <w:b/>
        </w:rPr>
      </w:pPr>
      <w:r w:rsidRPr="00134A77">
        <w:rPr>
          <w:b/>
        </w:rPr>
        <w:t xml:space="preserve">Observation </w:t>
      </w:r>
      <w:r w:rsidR="008E4DA1">
        <w:rPr>
          <w:b/>
        </w:rPr>
        <w:t>1</w:t>
      </w:r>
      <w:r w:rsidRPr="00134A77">
        <w:rPr>
          <w:b/>
        </w:rPr>
        <w:t>: Detection of asynchronous neighbour cells’ PCIs and CGIs for ANR can be achieved using existing RRC procedures.</w:t>
      </w:r>
    </w:p>
    <w:p w14:paraId="7EB73ED0" w14:textId="5CD89A69" w:rsidR="002A5299" w:rsidRDefault="002A5299" w:rsidP="00582064">
      <w:pPr>
        <w:jc w:val="both"/>
        <w:rPr>
          <w:rFonts w:eastAsia="DengXian" w:cs="Arial"/>
          <w:lang w:val="en-US" w:eastAsia="zh-CN"/>
        </w:rPr>
      </w:pPr>
      <w:r>
        <w:t>It is further observed that, as NR design allow</w:t>
      </w:r>
      <w:r w:rsidR="00230362">
        <w:t>s</w:t>
      </w:r>
      <w:r>
        <w:t xml:space="preserve"> the </w:t>
      </w:r>
      <w:r>
        <w:rPr>
          <w:lang w:val="en-US"/>
        </w:rPr>
        <w:t xml:space="preserve">transmission of RMSI </w:t>
      </w:r>
      <w:r w:rsidR="00582064">
        <w:rPr>
          <w:lang w:val="en-US"/>
        </w:rPr>
        <w:t xml:space="preserve">also </w:t>
      </w:r>
      <w:r>
        <w:rPr>
          <w:lang w:val="en-US"/>
        </w:rPr>
        <w:t xml:space="preserve">on cells that are used as </w:t>
      </w:r>
      <w:proofErr w:type="spellStart"/>
      <w:r>
        <w:rPr>
          <w:lang w:val="en-US"/>
        </w:rPr>
        <w:t>SCell</w:t>
      </w:r>
      <w:proofErr w:type="spellEnd"/>
      <w:r>
        <w:rPr>
          <w:lang w:val="en-US"/>
        </w:rPr>
        <w:t>-only, UEs configured to perform ANR measurement may also be able to measure and report</w:t>
      </w:r>
      <w:r w:rsidR="00230362">
        <w:rPr>
          <w:lang w:val="en-US"/>
        </w:rPr>
        <w:t xml:space="preserve"> </w:t>
      </w:r>
      <w:r w:rsidR="00582064">
        <w:rPr>
          <w:lang w:val="en-US"/>
        </w:rPr>
        <w:t xml:space="preserve">the CGI of </w:t>
      </w:r>
      <w:r>
        <w:rPr>
          <w:lang w:val="en-US"/>
        </w:rPr>
        <w:t>neighbor NR-U cells</w:t>
      </w:r>
      <w:r w:rsidR="008E4DA1">
        <w:rPr>
          <w:lang w:val="en-US"/>
        </w:rPr>
        <w:t xml:space="preserve"> only used as </w:t>
      </w:r>
      <w:proofErr w:type="spellStart"/>
      <w:r w:rsidR="008E4DA1">
        <w:rPr>
          <w:lang w:val="en-US"/>
        </w:rPr>
        <w:t>SCells</w:t>
      </w:r>
      <w:proofErr w:type="spellEnd"/>
      <w:r>
        <w:rPr>
          <w:lang w:val="en-US"/>
        </w:rPr>
        <w:t xml:space="preserve"> </w:t>
      </w:r>
      <w:r w:rsidR="007E4D8C">
        <w:rPr>
          <w:lang w:val="en-US"/>
        </w:rPr>
        <w:t>of</w:t>
      </w:r>
      <w:r>
        <w:rPr>
          <w:lang w:val="en-US"/>
        </w:rPr>
        <w:t xml:space="preserve"> other operators</w:t>
      </w:r>
      <w:r>
        <w:rPr>
          <w:rFonts w:eastAsia="DengXian" w:cs="Arial"/>
          <w:lang w:val="en-US" w:eastAsia="zh-CN"/>
        </w:rPr>
        <w:t>.</w:t>
      </w:r>
    </w:p>
    <w:p w14:paraId="322A4D19" w14:textId="4458A3A9" w:rsidR="008E4DA1" w:rsidRPr="00134A77" w:rsidRDefault="008E4DA1" w:rsidP="008E4DA1">
      <w:pPr>
        <w:jc w:val="both"/>
        <w:rPr>
          <w:b/>
          <w:lang w:val="en-US"/>
        </w:rPr>
      </w:pPr>
      <w:r w:rsidRPr="00134A77">
        <w:rPr>
          <w:b/>
        </w:rPr>
        <w:t xml:space="preserve">Observation </w:t>
      </w:r>
      <w:r>
        <w:rPr>
          <w:b/>
        </w:rPr>
        <w:t>2</w:t>
      </w:r>
      <w:r w:rsidRPr="00134A77">
        <w:rPr>
          <w:b/>
        </w:rPr>
        <w:t xml:space="preserve">: Detection CGI of neighbour NR-U cells that are only used as </w:t>
      </w:r>
      <w:proofErr w:type="spellStart"/>
      <w:r w:rsidRPr="00134A77">
        <w:rPr>
          <w:b/>
        </w:rPr>
        <w:t>SCells</w:t>
      </w:r>
      <w:proofErr w:type="spellEnd"/>
      <w:r>
        <w:rPr>
          <w:b/>
        </w:rPr>
        <w:t xml:space="preserve"> </w:t>
      </w:r>
      <w:r w:rsidRPr="00134A77">
        <w:rPr>
          <w:b/>
        </w:rPr>
        <w:t xml:space="preserve">for ANR can also be achieved using existing RRC procedures, </w:t>
      </w:r>
      <w:proofErr w:type="gramStart"/>
      <w:r w:rsidRPr="00134A77">
        <w:rPr>
          <w:b/>
        </w:rPr>
        <w:t>assuming that</w:t>
      </w:r>
      <w:proofErr w:type="gramEnd"/>
      <w:r w:rsidRPr="00134A77">
        <w:rPr>
          <w:b/>
        </w:rPr>
        <w:t xml:space="preserve"> RMSI is also transmitted on neighbour NR-U cells that are used as </w:t>
      </w:r>
      <w:proofErr w:type="spellStart"/>
      <w:r w:rsidRPr="00134A77">
        <w:rPr>
          <w:b/>
          <w:lang w:val="en-US"/>
        </w:rPr>
        <w:t>SCell</w:t>
      </w:r>
      <w:proofErr w:type="spellEnd"/>
      <w:r w:rsidRPr="00134A77">
        <w:rPr>
          <w:b/>
          <w:lang w:val="en-US"/>
        </w:rPr>
        <w:t>-only.</w:t>
      </w:r>
    </w:p>
    <w:p w14:paraId="1BDC9392" w14:textId="7CD9B7F7" w:rsidR="008E4DA1" w:rsidRPr="00134A77" w:rsidRDefault="008E4DA1" w:rsidP="008E4DA1">
      <w:pPr>
        <w:rPr>
          <w:b/>
        </w:rPr>
      </w:pPr>
      <w:r w:rsidRPr="00134A77">
        <w:rPr>
          <w:b/>
        </w:rPr>
        <w:t xml:space="preserve">Proposal 2: It is proposed to conclude that no additional mechanism is needed for measuring asynchronous cells for ANR. </w:t>
      </w:r>
    </w:p>
    <w:p w14:paraId="4D23DA59" w14:textId="1E64A239" w:rsidR="00D717A1" w:rsidRDefault="00D717A1" w:rsidP="00D717A1">
      <w:pPr>
        <w:pStyle w:val="Heading2"/>
      </w:pPr>
      <w:r>
        <w:t>2.</w:t>
      </w:r>
      <w:r w:rsidR="00230362">
        <w:t>2.2</w:t>
      </w:r>
      <w:r>
        <w:tab/>
      </w:r>
      <w:r w:rsidR="008577FA">
        <w:t>M</w:t>
      </w:r>
      <w:r>
        <w:t>easur</w:t>
      </w:r>
      <w:r w:rsidR="00473465">
        <w:t>ing</w:t>
      </w:r>
      <w:r>
        <w:t xml:space="preserve"> </w:t>
      </w:r>
      <w:r w:rsidR="00C07963">
        <w:t xml:space="preserve">asynchronous cells </w:t>
      </w:r>
      <w:r>
        <w:t>for mobility</w:t>
      </w:r>
    </w:p>
    <w:p w14:paraId="10711E89" w14:textId="20FE24D7" w:rsidR="00354D57" w:rsidRDefault="00354D57" w:rsidP="00A5348A">
      <w:pPr>
        <w:jc w:val="both"/>
      </w:pPr>
      <w:r>
        <w:t xml:space="preserve">In NR measurements required for mobility are made possible by transmitting DRS every 5 </w:t>
      </w:r>
      <w:proofErr w:type="spellStart"/>
      <w:r>
        <w:t>msec</w:t>
      </w:r>
      <w:proofErr w:type="spellEnd"/>
      <w:r w:rsidR="00853142">
        <w:t xml:space="preserve">, just as </w:t>
      </w:r>
      <w:r w:rsidR="007D7331">
        <w:t xml:space="preserve">for </w:t>
      </w:r>
      <w:r w:rsidR="00853142">
        <w:t>initial acquisitio</w:t>
      </w:r>
      <w:bookmarkStart w:id="3" w:name="_GoBack"/>
      <w:bookmarkEnd w:id="3"/>
      <w:r w:rsidR="00853142">
        <w:t>n</w:t>
      </w:r>
      <w:r>
        <w:t xml:space="preserve">. In NR-U this option may not be available, because transmitting the SSBs with a periodicity of 5 </w:t>
      </w:r>
      <w:proofErr w:type="spellStart"/>
      <w:r>
        <w:t>ms</w:t>
      </w:r>
      <w:proofErr w:type="spellEnd"/>
      <w:r>
        <w:t xml:space="preserve"> might be challenging in NR-U due to the restrictions imposed by LBT to the frequency of transmission of discovery reference signals, including SSBs. </w:t>
      </w:r>
    </w:p>
    <w:p w14:paraId="58668DCC" w14:textId="1996767C" w:rsidR="008E4DA1" w:rsidRPr="00134A77" w:rsidRDefault="008E4DA1" w:rsidP="008E4DA1">
      <w:pPr>
        <w:jc w:val="both"/>
        <w:rPr>
          <w:b/>
        </w:rPr>
      </w:pPr>
      <w:r w:rsidRPr="00134A77">
        <w:rPr>
          <w:b/>
        </w:rPr>
        <w:t xml:space="preserve">Observation </w:t>
      </w:r>
      <w:r>
        <w:rPr>
          <w:b/>
        </w:rPr>
        <w:t>3</w:t>
      </w:r>
      <w:r w:rsidRPr="00134A77">
        <w:rPr>
          <w:b/>
        </w:rPr>
        <w:t>: In NR-U, due to the restrictions imposed by LBT to the frequency of transmission of DRS, it may not possible to support neighbour cell RRM measurements with Rel-15 SMTC and/or measurement gap configurations, and by transmitting the SSBs at a periodicity of 5ms.</w:t>
      </w:r>
    </w:p>
    <w:p w14:paraId="50695B48" w14:textId="050EE7D6" w:rsidR="00FC4AA2" w:rsidRDefault="00FC4AA2" w:rsidP="00A5348A">
      <w:pPr>
        <w:jc w:val="both"/>
      </w:pPr>
      <w:r>
        <w:t>Assuming now a DRS transmission periodicity larger than 5msec, we consider how a</w:t>
      </w:r>
      <w:r w:rsidR="00CE69A2">
        <w:t xml:space="preserve"> gNB </w:t>
      </w:r>
      <w:r w:rsidR="008577FA">
        <w:t xml:space="preserve">could </w:t>
      </w:r>
      <w:r>
        <w:t xml:space="preserve">configure a UE to </w:t>
      </w:r>
      <w:r w:rsidR="00CE69A2">
        <w:t>allow the UE to detect an asynchronous neighbour cell, should the UE come close to it</w:t>
      </w:r>
      <w:r>
        <w:t>.</w:t>
      </w:r>
      <w:r w:rsidR="007D7331">
        <w:t xml:space="preserve"> We identify </w:t>
      </w:r>
      <w:r w:rsidR="008577FA">
        <w:t xml:space="preserve">the </w:t>
      </w:r>
      <w:r w:rsidR="007D7331">
        <w:t>following options:</w:t>
      </w:r>
    </w:p>
    <w:p w14:paraId="2BAEEDAA" w14:textId="4D18B801" w:rsidR="008577FA" w:rsidRDefault="007D7331" w:rsidP="00A5348A">
      <w:pPr>
        <w:pStyle w:val="ListParagraph"/>
        <w:numPr>
          <w:ilvl w:val="0"/>
          <w:numId w:val="12"/>
        </w:numPr>
        <w:ind w:left="714" w:hanging="357"/>
        <w:contextualSpacing w:val="0"/>
        <w:jc w:val="both"/>
      </w:pPr>
      <w:r>
        <w:t>S</w:t>
      </w:r>
      <w:r w:rsidR="00FC4AA2">
        <w:t>liding window measurements</w:t>
      </w:r>
      <w:r w:rsidR="008577FA">
        <w:t xml:space="preserve"> (i.e. measurement window periodicity not aligned with DRS periodicity)</w:t>
      </w:r>
      <w:r w:rsidR="00FC4AA2">
        <w:t>. Th</w:t>
      </w:r>
      <w:r w:rsidR="004F4A5F">
        <w:t xml:space="preserve">is option would </w:t>
      </w:r>
      <w:r w:rsidR="00473465">
        <w:t xml:space="preserve">allow to detect a neighbour cell potentially only after one sweep of the window and thus would </w:t>
      </w:r>
      <w:r w:rsidR="004F4A5F">
        <w:t xml:space="preserve">have </w:t>
      </w:r>
      <w:r w:rsidR="00FC4AA2">
        <w:t>poor mobility performance</w:t>
      </w:r>
      <w:r w:rsidR="00230362">
        <w:t xml:space="preserve"> due the delay needed to discover neighbour cells</w:t>
      </w:r>
      <w:r w:rsidR="00FC4AA2">
        <w:t>.</w:t>
      </w:r>
    </w:p>
    <w:p w14:paraId="25723119" w14:textId="2A828A9A" w:rsidR="008577FA" w:rsidRDefault="007D7331" w:rsidP="00A5348A">
      <w:pPr>
        <w:pStyle w:val="ListParagraph"/>
        <w:numPr>
          <w:ilvl w:val="0"/>
          <w:numId w:val="12"/>
        </w:numPr>
        <w:contextualSpacing w:val="0"/>
        <w:jc w:val="both"/>
      </w:pPr>
      <w:r>
        <w:t>L</w:t>
      </w:r>
      <w:r w:rsidR="004F4A5F">
        <w:t>ong measurement</w:t>
      </w:r>
      <w:r w:rsidR="00473465">
        <w:t xml:space="preserve"> window</w:t>
      </w:r>
      <w:r w:rsidR="004F4A5F">
        <w:t xml:space="preserve">. </w:t>
      </w:r>
      <w:r w:rsidR="00473465">
        <w:t xml:space="preserve">A measurement window </w:t>
      </w:r>
      <w:r w:rsidR="008577FA">
        <w:t>(</w:t>
      </w:r>
      <w:r w:rsidR="00473465">
        <w:t>and the corresponding measurement gap</w:t>
      </w:r>
      <w:r w:rsidR="008577FA">
        <w:t xml:space="preserve">, when needed) </w:t>
      </w:r>
      <w:r w:rsidR="00473465">
        <w:t>could be extended to cover the maxim</w:t>
      </w:r>
      <w:r w:rsidR="008577FA">
        <w:t>um</w:t>
      </w:r>
      <w:r w:rsidR="00473465">
        <w:t xml:space="preserve"> DRS periodicity. However</w:t>
      </w:r>
      <w:r w:rsidR="00A64E00">
        <w:t>,</w:t>
      </w:r>
      <w:r w:rsidR="00473465">
        <w:t xml:space="preserve"> the impact on reporting the measurements as well as impact on performance would be large</w:t>
      </w:r>
      <w:r w:rsidR="004F4A5F">
        <w:t xml:space="preserve">. Hence this option </w:t>
      </w:r>
      <w:r w:rsidR="008577FA">
        <w:t xml:space="preserve">seems </w:t>
      </w:r>
      <w:r w:rsidR="004F4A5F">
        <w:t xml:space="preserve">not viable. </w:t>
      </w:r>
    </w:p>
    <w:p w14:paraId="45641EF3" w14:textId="553E66C7" w:rsidR="008577FA" w:rsidRDefault="007D7331" w:rsidP="00A5348A">
      <w:pPr>
        <w:pStyle w:val="ListParagraph"/>
        <w:numPr>
          <w:ilvl w:val="0"/>
          <w:numId w:val="12"/>
        </w:numPr>
        <w:contextualSpacing w:val="0"/>
        <w:jc w:val="both"/>
      </w:pPr>
      <w:r>
        <w:t>R</w:t>
      </w:r>
      <w:r w:rsidR="004F4A5F">
        <w:t xml:space="preserve">econfiguring a single UE with known DRS </w:t>
      </w:r>
      <w:r w:rsidR="008577FA">
        <w:t xml:space="preserve">transmission </w:t>
      </w:r>
      <w:r w:rsidR="004F4A5F">
        <w:t xml:space="preserve">windows of neighbours. </w:t>
      </w:r>
      <w:r w:rsidR="008E6FD7">
        <w:t xml:space="preserve">We note that at present the standard foresees a single measurement gap for one FR, across all measurement objects. Thus, if the DRS transmission windows of two neighbours of a gNB do not overlap, the gNB would need to repeatedly reconfigure the measurements for the UE using RRC signalling. </w:t>
      </w:r>
      <w:r w:rsidR="008577FA">
        <w:t xml:space="preserve">Moreover, this option assumes the gNB knows the timing of DRS transmission of neighbour cells, </w:t>
      </w:r>
      <w:r w:rsidR="00A64E00">
        <w:t xml:space="preserve">and </w:t>
      </w:r>
      <w:r w:rsidR="008577FA">
        <w:t xml:space="preserve">only their transmissions are not time aligned. </w:t>
      </w:r>
      <w:r w:rsidR="008E6FD7">
        <w:t xml:space="preserve">This </w:t>
      </w:r>
      <w:r>
        <w:t xml:space="preserve">solution therefore </w:t>
      </w:r>
      <w:r w:rsidR="008E6FD7">
        <w:t xml:space="preserve">seems not </w:t>
      </w:r>
      <w:r w:rsidR="00230362">
        <w:t>to be an efficient solution for all deployment scenarios</w:t>
      </w:r>
      <w:r w:rsidR="008E6FD7">
        <w:t>.</w:t>
      </w:r>
    </w:p>
    <w:p w14:paraId="00B4675F" w14:textId="4967D7BE" w:rsidR="004F4A5F" w:rsidRDefault="007D7331" w:rsidP="00A5348A">
      <w:pPr>
        <w:pStyle w:val="ListParagraph"/>
        <w:numPr>
          <w:ilvl w:val="0"/>
          <w:numId w:val="12"/>
        </w:numPr>
        <w:contextualSpacing w:val="0"/>
        <w:jc w:val="both"/>
      </w:pPr>
      <w:r>
        <w:t>M</w:t>
      </w:r>
      <w:r w:rsidR="004F4A5F">
        <w:t>ultiple measurement gaps for a single measurement configuration. An SI proposal [</w:t>
      </w:r>
      <w:r w:rsidR="00473465">
        <w:t xml:space="preserve">3, </w:t>
      </w:r>
      <w:r w:rsidR="004F4A5F">
        <w:t xml:space="preserve">Measurement Gap Enhancement, RP-190243, Intel] has been </w:t>
      </w:r>
      <w:r w:rsidR="00E42883">
        <w:t>suggesting</w:t>
      </w:r>
      <w:r w:rsidR="004F4A5F">
        <w:t xml:space="preserve"> </w:t>
      </w:r>
      <w:r w:rsidR="00A64E00">
        <w:t>studying</w:t>
      </w:r>
      <w:r w:rsidR="004F4A5F">
        <w:t xml:space="preserve"> related methods. </w:t>
      </w:r>
      <w:r w:rsidR="00230362">
        <w:t>T</w:t>
      </w:r>
      <w:r w:rsidR="00600A21">
        <w:t xml:space="preserve">his option </w:t>
      </w:r>
      <w:r w:rsidR="00230362">
        <w:t xml:space="preserve">also </w:t>
      </w:r>
      <w:r w:rsidR="00600A21">
        <w:t>assumes the gNB knows the timing of DRS transmission of neighbour cells.</w:t>
      </w:r>
    </w:p>
    <w:p w14:paraId="495BB42D" w14:textId="4E3B4481" w:rsidR="008E6FD7" w:rsidRDefault="004F4A5F" w:rsidP="00A5348A">
      <w:pPr>
        <w:jc w:val="both"/>
      </w:pPr>
      <w:r>
        <w:t xml:space="preserve">Among </w:t>
      </w:r>
      <w:r w:rsidR="007E4D8C">
        <w:t>the presented options above, option 4 has the best characteristics</w:t>
      </w:r>
      <w:r>
        <w:t xml:space="preserve">. </w:t>
      </w:r>
      <w:r w:rsidR="008E6FD7">
        <w:t xml:space="preserve">The complexity of introducing a solution as </w:t>
      </w:r>
      <w:r w:rsidR="00600A21">
        <w:t xml:space="preserve">option 4 </w:t>
      </w:r>
      <w:r w:rsidR="00297005">
        <w:t>requires a lot of standardization work</w:t>
      </w:r>
      <w:r w:rsidR="00230362">
        <w:t xml:space="preserve"> and most probably a separate study/work item</w:t>
      </w:r>
      <w:r w:rsidR="008E6FD7">
        <w:t xml:space="preserve">. </w:t>
      </w:r>
      <w:r w:rsidR="00600A21">
        <w:t xml:space="preserve">Moreover, in order to work in all asynchronous scenario, option 4 may also require the standardization of means for the serving gNB to acquire the </w:t>
      </w:r>
      <w:r w:rsidR="00600A21">
        <w:lastRenderedPageBreak/>
        <w:t xml:space="preserve">timing of transmission of its neighbour cells. </w:t>
      </w:r>
      <w:r w:rsidR="008E6FD7">
        <w:t>We therefore think that supporting mobility for asynchronous networks</w:t>
      </w:r>
      <w:r w:rsidR="00297005">
        <w:t xml:space="preserve"> would require a significant amount of extra work</w:t>
      </w:r>
      <w:r w:rsidR="008E6FD7">
        <w:t>.</w:t>
      </w:r>
    </w:p>
    <w:p w14:paraId="7C6C42A0" w14:textId="1A08F31C" w:rsidR="00FF3BF3" w:rsidRDefault="00FF3BF3" w:rsidP="00A5348A">
      <w:pPr>
        <w:jc w:val="both"/>
      </w:pPr>
      <w:r>
        <w:t>Further, the operation of a truly asynchronous network should be possible to avoid in most cases, as the network can configure the SMTC of its cells, and in most cases also will be able to maintain a degree of common timing across its cells. Networks which require mobility support for asynchronous cells may not be the most common networks and thus could be considered at a later stage.</w:t>
      </w:r>
      <w:r w:rsidR="00750E9E">
        <w:t xml:space="preserve"> </w:t>
      </w:r>
    </w:p>
    <w:p w14:paraId="54CA192D" w14:textId="62B735FB" w:rsidR="008E4DA1" w:rsidRPr="00134A77" w:rsidRDefault="008E6FD7" w:rsidP="008E4DA1">
      <w:pPr>
        <w:jc w:val="both"/>
        <w:rPr>
          <w:b/>
        </w:rPr>
      </w:pPr>
      <w:r w:rsidRPr="008E6FD7">
        <w:rPr>
          <w:b/>
        </w:rPr>
        <w:t>Proposal</w:t>
      </w:r>
      <w:r w:rsidR="00230362">
        <w:rPr>
          <w:b/>
        </w:rPr>
        <w:t xml:space="preserve"> </w:t>
      </w:r>
      <w:r w:rsidR="00C028A0">
        <w:rPr>
          <w:b/>
        </w:rPr>
        <w:t>3</w:t>
      </w:r>
      <w:r w:rsidRPr="008E6FD7">
        <w:rPr>
          <w:b/>
        </w:rPr>
        <w:t>:</w:t>
      </w:r>
      <w:r w:rsidR="008E4DA1" w:rsidRPr="008E4DA1">
        <w:rPr>
          <w:b/>
        </w:rPr>
        <w:t xml:space="preserve"> </w:t>
      </w:r>
      <w:r w:rsidR="008E4DA1" w:rsidRPr="00134A77">
        <w:rPr>
          <w:b/>
        </w:rPr>
        <w:t>Do not enhance RAN2 specifications to support mobility measurements of asynchronous neighbour cells in Rel-16.</w:t>
      </w:r>
    </w:p>
    <w:p w14:paraId="11EDA2BC" w14:textId="55CDD7E0" w:rsidR="00600A21" w:rsidRDefault="00230362" w:rsidP="00A5348A">
      <w:pPr>
        <w:pStyle w:val="Heading2"/>
      </w:pPr>
      <w:r>
        <w:t>2.3</w:t>
      </w:r>
      <w:r>
        <w:tab/>
      </w:r>
      <w:r w:rsidR="00582064">
        <w:t>Other</w:t>
      </w:r>
      <w:r w:rsidR="00C028A0">
        <w:t xml:space="preserve"> impact of measurement gap configuration </w:t>
      </w:r>
    </w:p>
    <w:p w14:paraId="72E3C714" w14:textId="4C052798" w:rsidR="00F01F53" w:rsidRDefault="00C028A0" w:rsidP="00A5348A">
      <w:pPr>
        <w:jc w:val="both"/>
      </w:pPr>
      <w:bookmarkStart w:id="4" w:name="_Hlk7620075"/>
      <w:bookmarkEnd w:id="1"/>
      <w:r>
        <w:t>Based on the analyses of measuring asynchronous neighbour cells for ANR</w:t>
      </w:r>
      <w:r w:rsidR="00230362">
        <w:t xml:space="preserve"> (section 2.2.1)</w:t>
      </w:r>
      <w:r>
        <w:t xml:space="preserve">, one can also notice that it requires more frequent and longer measurements to be performed by UEs. </w:t>
      </w:r>
      <w:r w:rsidR="00F01F53">
        <w:t>If the length of the measurement gaps were to be increased as well as their number, this would negatively impact DRX and power consumption. Indeed, the DRX timers would have to be long enough to avoid expiring when a measurement gap occurs. The longer the gap and the more often they occur the more serious the problem become. To avoid increasing power consumption, the subframes occurring during a measurement gap should be excluded from the counters.</w:t>
      </w:r>
    </w:p>
    <w:p w14:paraId="48F8307F" w14:textId="15BF0423" w:rsidR="008E4DA1" w:rsidRPr="00134A77" w:rsidRDefault="008E4DA1" w:rsidP="008E4DA1">
      <w:pPr>
        <w:jc w:val="both"/>
        <w:rPr>
          <w:b/>
        </w:rPr>
      </w:pPr>
      <w:r w:rsidRPr="00134A77">
        <w:rPr>
          <w:b/>
        </w:rPr>
        <w:t xml:space="preserve">Proposal </w:t>
      </w:r>
      <w:r>
        <w:rPr>
          <w:b/>
        </w:rPr>
        <w:t>4</w:t>
      </w:r>
      <w:r w:rsidRPr="00134A77">
        <w:rPr>
          <w:b/>
        </w:rPr>
        <w:t>: Exclude the PDCCH subframes colliding with a measurement gap from the DRX timers.</w:t>
      </w:r>
    </w:p>
    <w:bookmarkEnd w:id="0"/>
    <w:bookmarkEnd w:id="4"/>
    <w:p w14:paraId="240F976F" w14:textId="77777777" w:rsidR="00F01F53" w:rsidRPr="006E13D1" w:rsidRDefault="00F01F53" w:rsidP="00F01F53">
      <w:pPr>
        <w:pStyle w:val="Heading1"/>
      </w:pPr>
      <w:r w:rsidRPr="006E13D1">
        <w:t>2</w:t>
      </w:r>
      <w:r w:rsidRPr="006E13D1">
        <w:tab/>
      </w:r>
      <w:r>
        <w:t>Conclusion</w:t>
      </w:r>
    </w:p>
    <w:p w14:paraId="053142DD" w14:textId="3B1182EA" w:rsidR="00F01F53" w:rsidRDefault="00F01F53" w:rsidP="00F01F53">
      <w:r>
        <w:t xml:space="preserve">In this paper we </w:t>
      </w:r>
      <w:r w:rsidR="00A64E00">
        <w:t xml:space="preserve">arrived at </w:t>
      </w:r>
      <w:r>
        <w:t>the following</w:t>
      </w:r>
      <w:r w:rsidR="00A64E00">
        <w:t xml:space="preserve"> observations and</w:t>
      </w:r>
      <w:r>
        <w:t xml:space="preserve"> proposals: </w:t>
      </w:r>
    </w:p>
    <w:p w14:paraId="14A1C45B" w14:textId="77777777" w:rsidR="008E4DA1" w:rsidRPr="0072196C" w:rsidRDefault="008E4DA1" w:rsidP="008E4DA1">
      <w:pPr>
        <w:jc w:val="both"/>
        <w:rPr>
          <w:b/>
        </w:rPr>
      </w:pPr>
      <w:r w:rsidRPr="0072196C">
        <w:rPr>
          <w:b/>
          <w:bCs/>
        </w:rPr>
        <w:t>Proposal 1:</w:t>
      </w:r>
      <w:r w:rsidRPr="0072196C">
        <w:rPr>
          <w:b/>
        </w:rPr>
        <w:t xml:space="preserve"> Address conditional handover (CHO) in NR-U towards the end of the WI, to allow to reuse the decisions and agreements concerning CHO made in NR mobility enhancements work item.</w:t>
      </w:r>
    </w:p>
    <w:p w14:paraId="0A2F8A73" w14:textId="77777777" w:rsidR="008E4DA1" w:rsidRPr="00134A77" w:rsidRDefault="008E4DA1" w:rsidP="008E4DA1">
      <w:pPr>
        <w:jc w:val="both"/>
        <w:rPr>
          <w:b/>
        </w:rPr>
      </w:pPr>
      <w:r w:rsidRPr="00134A77">
        <w:rPr>
          <w:b/>
        </w:rPr>
        <w:t xml:space="preserve">Observation </w:t>
      </w:r>
      <w:r>
        <w:rPr>
          <w:b/>
        </w:rPr>
        <w:t>1</w:t>
      </w:r>
      <w:r w:rsidRPr="00134A77">
        <w:rPr>
          <w:b/>
        </w:rPr>
        <w:t>: Detection of asynchronous neighbour cells’ PCIs and CGIs for ANR can be achieved using existing RRC procedures.</w:t>
      </w:r>
    </w:p>
    <w:p w14:paraId="57B6D8CE" w14:textId="77777777" w:rsidR="008E4DA1" w:rsidRPr="00134A77" w:rsidRDefault="008E4DA1" w:rsidP="008E4DA1">
      <w:pPr>
        <w:jc w:val="both"/>
        <w:rPr>
          <w:b/>
          <w:lang w:val="en-US"/>
        </w:rPr>
      </w:pPr>
      <w:r w:rsidRPr="00134A77">
        <w:rPr>
          <w:b/>
        </w:rPr>
        <w:t xml:space="preserve">Observation </w:t>
      </w:r>
      <w:r>
        <w:rPr>
          <w:b/>
        </w:rPr>
        <w:t>2</w:t>
      </w:r>
      <w:r w:rsidRPr="00134A77">
        <w:rPr>
          <w:b/>
        </w:rPr>
        <w:t xml:space="preserve">: Detection CGI of neighbour NR-U cells that are only used as </w:t>
      </w:r>
      <w:proofErr w:type="spellStart"/>
      <w:r w:rsidRPr="00134A77">
        <w:rPr>
          <w:b/>
        </w:rPr>
        <w:t>SCells</w:t>
      </w:r>
      <w:proofErr w:type="spellEnd"/>
      <w:r>
        <w:rPr>
          <w:b/>
        </w:rPr>
        <w:t xml:space="preserve"> </w:t>
      </w:r>
      <w:r w:rsidRPr="00134A77">
        <w:rPr>
          <w:b/>
        </w:rPr>
        <w:t xml:space="preserve">for ANR can also be achieved using existing RRC procedures, </w:t>
      </w:r>
      <w:proofErr w:type="gramStart"/>
      <w:r w:rsidRPr="00134A77">
        <w:rPr>
          <w:b/>
        </w:rPr>
        <w:t>assuming that</w:t>
      </w:r>
      <w:proofErr w:type="gramEnd"/>
      <w:r w:rsidRPr="00134A77">
        <w:rPr>
          <w:b/>
        </w:rPr>
        <w:t xml:space="preserve"> RMSI is also transmitted on neighbour NR-U cells that are used as </w:t>
      </w:r>
      <w:proofErr w:type="spellStart"/>
      <w:r w:rsidRPr="00134A77">
        <w:rPr>
          <w:b/>
          <w:lang w:val="en-US"/>
        </w:rPr>
        <w:t>SCell</w:t>
      </w:r>
      <w:proofErr w:type="spellEnd"/>
      <w:r w:rsidRPr="00134A77">
        <w:rPr>
          <w:b/>
          <w:lang w:val="en-US"/>
        </w:rPr>
        <w:t>-only.</w:t>
      </w:r>
    </w:p>
    <w:p w14:paraId="6A073C53" w14:textId="77777777" w:rsidR="008E4DA1" w:rsidRPr="00134A77" w:rsidRDefault="008E4DA1" w:rsidP="008E4DA1">
      <w:pPr>
        <w:rPr>
          <w:b/>
        </w:rPr>
      </w:pPr>
      <w:r w:rsidRPr="00134A77">
        <w:rPr>
          <w:b/>
        </w:rPr>
        <w:t xml:space="preserve">Proposal 2: It is proposed to conclude that no additional mechanism is needed for measuring asynchronous cells for ANR. </w:t>
      </w:r>
    </w:p>
    <w:p w14:paraId="277F4A49" w14:textId="77777777" w:rsidR="008E4DA1" w:rsidRPr="00134A77" w:rsidRDefault="008E4DA1" w:rsidP="008E4DA1">
      <w:pPr>
        <w:jc w:val="both"/>
        <w:rPr>
          <w:b/>
        </w:rPr>
      </w:pPr>
      <w:r w:rsidRPr="00134A77">
        <w:rPr>
          <w:b/>
        </w:rPr>
        <w:t xml:space="preserve">Observation </w:t>
      </w:r>
      <w:r>
        <w:rPr>
          <w:b/>
        </w:rPr>
        <w:t>3</w:t>
      </w:r>
      <w:r w:rsidRPr="00134A77">
        <w:rPr>
          <w:b/>
        </w:rPr>
        <w:t>: In NR-U, due to the restrictions imposed by LBT to the frequency of transmission of DRS, it may not possible to support neighbour cell RRM measurements with Rel-15 SMTC and/or measurement gap configurations, and by transmitting the SSBs at a periodicity of 5ms.</w:t>
      </w:r>
    </w:p>
    <w:p w14:paraId="7A42C265" w14:textId="77777777" w:rsidR="008E4DA1" w:rsidRPr="00134A77" w:rsidRDefault="008E4DA1" w:rsidP="008E4DA1">
      <w:pPr>
        <w:jc w:val="both"/>
        <w:rPr>
          <w:b/>
        </w:rPr>
      </w:pPr>
      <w:r w:rsidRPr="008E6FD7">
        <w:rPr>
          <w:b/>
        </w:rPr>
        <w:t>Proposal</w:t>
      </w:r>
      <w:r>
        <w:rPr>
          <w:b/>
        </w:rPr>
        <w:t xml:space="preserve"> 3</w:t>
      </w:r>
      <w:r w:rsidRPr="008E6FD7">
        <w:rPr>
          <w:b/>
        </w:rPr>
        <w:t>:</w:t>
      </w:r>
      <w:r w:rsidRPr="008E4DA1">
        <w:rPr>
          <w:b/>
        </w:rPr>
        <w:t xml:space="preserve"> </w:t>
      </w:r>
      <w:r w:rsidRPr="00134A77">
        <w:rPr>
          <w:b/>
        </w:rPr>
        <w:t>Do not enhance RAN2 specifications to support mobility measurements of asynchronous neighbour cells in Rel-16.</w:t>
      </w:r>
    </w:p>
    <w:p w14:paraId="6248B6CE" w14:textId="77777777" w:rsidR="008E4DA1" w:rsidRPr="00134A77" w:rsidRDefault="008E4DA1" w:rsidP="008E4DA1">
      <w:pPr>
        <w:jc w:val="both"/>
        <w:rPr>
          <w:b/>
        </w:rPr>
      </w:pPr>
      <w:r w:rsidRPr="00134A77">
        <w:rPr>
          <w:b/>
        </w:rPr>
        <w:t xml:space="preserve">Proposal </w:t>
      </w:r>
      <w:r>
        <w:rPr>
          <w:b/>
        </w:rPr>
        <w:t>4</w:t>
      </w:r>
      <w:r w:rsidRPr="00134A77">
        <w:rPr>
          <w:b/>
        </w:rPr>
        <w:t>: Exclude the PDCCH subframes colliding with a measurement gap from the DRX timers.</w:t>
      </w:r>
    </w:p>
    <w:p w14:paraId="2897AB62" w14:textId="77777777" w:rsidR="00F01F53" w:rsidRDefault="00F01F53" w:rsidP="00F01F53">
      <w:pPr>
        <w:pStyle w:val="Heading1"/>
      </w:pPr>
      <w:r>
        <w:t>3</w:t>
      </w:r>
      <w:r w:rsidRPr="006E13D1">
        <w:tab/>
      </w:r>
      <w:r>
        <w:t>References</w:t>
      </w:r>
    </w:p>
    <w:p w14:paraId="5D968BE4" w14:textId="3D160CFC" w:rsidR="00F01F53" w:rsidRDefault="00F01F53" w:rsidP="00F01F53">
      <w:pPr>
        <w:numPr>
          <w:ilvl w:val="0"/>
          <w:numId w:val="4"/>
        </w:numPr>
        <w:overflowPunct w:val="0"/>
        <w:autoSpaceDE w:val="0"/>
        <w:autoSpaceDN w:val="0"/>
        <w:adjustRightInd w:val="0"/>
        <w:textAlignment w:val="baseline"/>
      </w:pPr>
      <w:r w:rsidRPr="00A97E5D">
        <w:t>RP-1</w:t>
      </w:r>
      <w:r w:rsidR="00BF0E4C">
        <w:t>91575</w:t>
      </w:r>
      <w:r>
        <w:rPr>
          <w:i/>
        </w:rPr>
        <w:t xml:space="preserve">, </w:t>
      </w:r>
      <w:r w:rsidR="00BF0E4C" w:rsidRPr="00BF0E4C">
        <w:rPr>
          <w:i/>
        </w:rPr>
        <w:t>Revised WID on NR-based Access to Unlicensed Spectrum</w:t>
      </w:r>
      <w:r w:rsidRPr="004809DC">
        <w:t xml:space="preserve">, </w:t>
      </w:r>
      <w:r>
        <w:t>Q</w:t>
      </w:r>
      <w:r w:rsidRPr="00A97E5D">
        <w:t>ualcomm Inc.</w:t>
      </w:r>
    </w:p>
    <w:p w14:paraId="30F7A2CF" w14:textId="52D636F4" w:rsidR="00BF0E4C" w:rsidRDefault="00BF0E4C" w:rsidP="00F01F53">
      <w:pPr>
        <w:numPr>
          <w:ilvl w:val="0"/>
          <w:numId w:val="4"/>
        </w:numPr>
        <w:overflowPunct w:val="0"/>
        <w:autoSpaceDE w:val="0"/>
        <w:autoSpaceDN w:val="0"/>
        <w:adjustRightInd w:val="0"/>
        <w:textAlignment w:val="baseline"/>
      </w:pPr>
      <w:r w:rsidRPr="00ED36DB">
        <w:rPr>
          <w:rStyle w:val="Hyperlink"/>
          <w:color w:val="auto"/>
          <w:u w:val="none"/>
        </w:rPr>
        <w:t>TR</w:t>
      </w:r>
      <w:r>
        <w:rPr>
          <w:rStyle w:val="Hyperlink"/>
          <w:color w:val="auto"/>
          <w:u w:val="none"/>
        </w:rPr>
        <w:t xml:space="preserve"> </w:t>
      </w:r>
      <w:r w:rsidRPr="00ED36DB">
        <w:rPr>
          <w:rStyle w:val="Hyperlink"/>
          <w:color w:val="auto"/>
          <w:u w:val="none"/>
        </w:rPr>
        <w:t>38.889</w:t>
      </w:r>
      <w:r w:rsidRPr="00ED36DB">
        <w:t xml:space="preserve">, </w:t>
      </w:r>
      <w:r w:rsidRPr="00ED36DB">
        <w:rPr>
          <w:rFonts w:eastAsia="MS Mincho"/>
          <w:i/>
        </w:rPr>
        <w:t>Study on NR-based access to unlicensed spectrum</w:t>
      </w:r>
      <w:r w:rsidRPr="00ED36DB">
        <w:rPr>
          <w:rFonts w:eastAsia="MS Mincho"/>
        </w:rPr>
        <w:t xml:space="preserve">, </w:t>
      </w:r>
      <w:r w:rsidRPr="00ED36DB">
        <w:t xml:space="preserve">V16.0.0 </w:t>
      </w:r>
      <w:r w:rsidRPr="0085390C">
        <w:t>(2018-12</w:t>
      </w:r>
      <w:r>
        <w:t>)</w:t>
      </w:r>
    </w:p>
    <w:p w14:paraId="045B8310" w14:textId="17FFF166" w:rsidR="00E42883" w:rsidRDefault="00BF0E4C" w:rsidP="00F01F53">
      <w:r w:rsidRPr="009F5462">
        <w:t xml:space="preserve">[3] </w:t>
      </w:r>
      <w:r w:rsidR="00E42883" w:rsidRPr="00BF0E4C">
        <w:t>R</w:t>
      </w:r>
      <w:r w:rsidR="00E42883">
        <w:t xml:space="preserve">P-190243, </w:t>
      </w:r>
      <w:r w:rsidR="00E42883" w:rsidRPr="00E42883">
        <w:rPr>
          <w:i/>
        </w:rPr>
        <w:t>New SI Proposal: Study on measurement gap enhancement</w:t>
      </w:r>
      <w:r w:rsidR="00E42883">
        <w:t>, Intel Corporation</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60D4F" w14:textId="77777777" w:rsidR="00DE0745" w:rsidRDefault="00DE0745">
      <w:r>
        <w:separator/>
      </w:r>
    </w:p>
  </w:endnote>
  <w:endnote w:type="continuationSeparator" w:id="0">
    <w:p w14:paraId="105DA3A9" w14:textId="77777777" w:rsidR="00DE0745" w:rsidRDefault="00DE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064A1" w14:textId="77777777" w:rsidR="00DE0745" w:rsidRDefault="00DE0745">
      <w:r>
        <w:separator/>
      </w:r>
    </w:p>
  </w:footnote>
  <w:footnote w:type="continuationSeparator" w:id="0">
    <w:p w14:paraId="249A2097" w14:textId="77777777" w:rsidR="00DE0745" w:rsidRDefault="00DE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540DB0"/>
    <w:multiLevelType w:val="hybridMultilevel"/>
    <w:tmpl w:val="72EE761A"/>
    <w:lvl w:ilvl="0" w:tplc="22D00F1A">
      <w:start w:val="1"/>
      <w:numFmt w:val="bullet"/>
      <w:lvlText w:val="–"/>
      <w:lvlJc w:val="left"/>
      <w:pPr>
        <w:tabs>
          <w:tab w:val="num" w:pos="720"/>
        </w:tabs>
        <w:ind w:left="720" w:hanging="360"/>
      </w:pPr>
      <w:rPr>
        <w:rFonts w:ascii="Arial" w:hAnsi="Arial" w:hint="default"/>
      </w:rPr>
    </w:lvl>
    <w:lvl w:ilvl="1" w:tplc="B718A58C">
      <w:start w:val="1"/>
      <w:numFmt w:val="bullet"/>
      <w:lvlText w:val="–"/>
      <w:lvlJc w:val="left"/>
      <w:pPr>
        <w:tabs>
          <w:tab w:val="num" w:pos="1440"/>
        </w:tabs>
        <w:ind w:left="1440" w:hanging="360"/>
      </w:pPr>
      <w:rPr>
        <w:rFonts w:ascii="Arial" w:hAnsi="Arial" w:hint="default"/>
      </w:rPr>
    </w:lvl>
    <w:lvl w:ilvl="2" w:tplc="65C0FD8A">
      <w:start w:val="142"/>
      <w:numFmt w:val="bullet"/>
      <w:lvlText w:val="•"/>
      <w:lvlJc w:val="left"/>
      <w:pPr>
        <w:tabs>
          <w:tab w:val="num" w:pos="2160"/>
        </w:tabs>
        <w:ind w:left="2160" w:hanging="360"/>
      </w:pPr>
      <w:rPr>
        <w:rFonts w:ascii="Arial" w:hAnsi="Arial" w:hint="default"/>
      </w:rPr>
    </w:lvl>
    <w:lvl w:ilvl="3" w:tplc="33C0C436" w:tentative="1">
      <w:start w:val="1"/>
      <w:numFmt w:val="bullet"/>
      <w:lvlText w:val="–"/>
      <w:lvlJc w:val="left"/>
      <w:pPr>
        <w:tabs>
          <w:tab w:val="num" w:pos="2880"/>
        </w:tabs>
        <w:ind w:left="2880" w:hanging="360"/>
      </w:pPr>
      <w:rPr>
        <w:rFonts w:ascii="Arial" w:hAnsi="Arial" w:hint="default"/>
      </w:rPr>
    </w:lvl>
    <w:lvl w:ilvl="4" w:tplc="EBC0E4FE" w:tentative="1">
      <w:start w:val="1"/>
      <w:numFmt w:val="bullet"/>
      <w:lvlText w:val="–"/>
      <w:lvlJc w:val="left"/>
      <w:pPr>
        <w:tabs>
          <w:tab w:val="num" w:pos="3600"/>
        </w:tabs>
        <w:ind w:left="3600" w:hanging="360"/>
      </w:pPr>
      <w:rPr>
        <w:rFonts w:ascii="Arial" w:hAnsi="Arial" w:hint="default"/>
      </w:rPr>
    </w:lvl>
    <w:lvl w:ilvl="5" w:tplc="74460116" w:tentative="1">
      <w:start w:val="1"/>
      <w:numFmt w:val="bullet"/>
      <w:lvlText w:val="–"/>
      <w:lvlJc w:val="left"/>
      <w:pPr>
        <w:tabs>
          <w:tab w:val="num" w:pos="4320"/>
        </w:tabs>
        <w:ind w:left="4320" w:hanging="360"/>
      </w:pPr>
      <w:rPr>
        <w:rFonts w:ascii="Arial" w:hAnsi="Arial" w:hint="default"/>
      </w:rPr>
    </w:lvl>
    <w:lvl w:ilvl="6" w:tplc="EA9C21AE" w:tentative="1">
      <w:start w:val="1"/>
      <w:numFmt w:val="bullet"/>
      <w:lvlText w:val="–"/>
      <w:lvlJc w:val="left"/>
      <w:pPr>
        <w:tabs>
          <w:tab w:val="num" w:pos="5040"/>
        </w:tabs>
        <w:ind w:left="5040" w:hanging="360"/>
      </w:pPr>
      <w:rPr>
        <w:rFonts w:ascii="Arial" w:hAnsi="Arial" w:hint="default"/>
      </w:rPr>
    </w:lvl>
    <w:lvl w:ilvl="7" w:tplc="962A60C8" w:tentative="1">
      <w:start w:val="1"/>
      <w:numFmt w:val="bullet"/>
      <w:lvlText w:val="–"/>
      <w:lvlJc w:val="left"/>
      <w:pPr>
        <w:tabs>
          <w:tab w:val="num" w:pos="5760"/>
        </w:tabs>
        <w:ind w:left="5760" w:hanging="360"/>
      </w:pPr>
      <w:rPr>
        <w:rFonts w:ascii="Arial" w:hAnsi="Arial" w:hint="default"/>
      </w:rPr>
    </w:lvl>
    <w:lvl w:ilvl="8" w:tplc="5D3EAE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DA04F5"/>
    <w:multiLevelType w:val="hybridMultilevel"/>
    <w:tmpl w:val="0026F278"/>
    <w:lvl w:ilvl="0" w:tplc="040B0001">
      <w:numFmt w:val="bullet"/>
      <w:lvlText w:val=""/>
      <w:lvlJc w:val="left"/>
      <w:pPr>
        <w:ind w:left="720" w:hanging="360"/>
      </w:pPr>
      <w:rPr>
        <w:rFonts w:ascii="Symbol" w:eastAsia="Times New Roman"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653CDA"/>
    <w:multiLevelType w:val="hybridMultilevel"/>
    <w:tmpl w:val="0FFEF906"/>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6C3C64"/>
    <w:multiLevelType w:val="hybridMultilevel"/>
    <w:tmpl w:val="EB1426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3"/>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0F5726"/>
    <w:rsid w:val="00112F1A"/>
    <w:rsid w:val="00145075"/>
    <w:rsid w:val="001741A0"/>
    <w:rsid w:val="00175FA0"/>
    <w:rsid w:val="00177263"/>
    <w:rsid w:val="00194CD0"/>
    <w:rsid w:val="001B49C9"/>
    <w:rsid w:val="001C23F4"/>
    <w:rsid w:val="001C4F79"/>
    <w:rsid w:val="001F168B"/>
    <w:rsid w:val="001F7831"/>
    <w:rsid w:val="00204045"/>
    <w:rsid w:val="0020712B"/>
    <w:rsid w:val="0022606D"/>
    <w:rsid w:val="00230362"/>
    <w:rsid w:val="00230DB1"/>
    <w:rsid w:val="00231728"/>
    <w:rsid w:val="00250404"/>
    <w:rsid w:val="002601D9"/>
    <w:rsid w:val="002610D8"/>
    <w:rsid w:val="00264ACA"/>
    <w:rsid w:val="00266A8C"/>
    <w:rsid w:val="002747EC"/>
    <w:rsid w:val="002855BF"/>
    <w:rsid w:val="0028681F"/>
    <w:rsid w:val="00297005"/>
    <w:rsid w:val="002A5299"/>
    <w:rsid w:val="002F0D22"/>
    <w:rsid w:val="002F6722"/>
    <w:rsid w:val="003172DC"/>
    <w:rsid w:val="00325AE3"/>
    <w:rsid w:val="00326069"/>
    <w:rsid w:val="0035462D"/>
    <w:rsid w:val="00354D57"/>
    <w:rsid w:val="00364B41"/>
    <w:rsid w:val="00383096"/>
    <w:rsid w:val="003A41EF"/>
    <w:rsid w:val="003B40AD"/>
    <w:rsid w:val="003C4E37"/>
    <w:rsid w:val="003D5362"/>
    <w:rsid w:val="003E16BE"/>
    <w:rsid w:val="003F4E28"/>
    <w:rsid w:val="004006E8"/>
    <w:rsid w:val="00401855"/>
    <w:rsid w:val="00465587"/>
    <w:rsid w:val="00473465"/>
    <w:rsid w:val="00477455"/>
    <w:rsid w:val="004A1F7B"/>
    <w:rsid w:val="004B02C2"/>
    <w:rsid w:val="004C44D2"/>
    <w:rsid w:val="004D3578"/>
    <w:rsid w:val="004D380D"/>
    <w:rsid w:val="004E213A"/>
    <w:rsid w:val="004F4A5F"/>
    <w:rsid w:val="00503171"/>
    <w:rsid w:val="00506C28"/>
    <w:rsid w:val="00534DA0"/>
    <w:rsid w:val="00543E6C"/>
    <w:rsid w:val="00552524"/>
    <w:rsid w:val="00565087"/>
    <w:rsid w:val="0056573F"/>
    <w:rsid w:val="00573DF0"/>
    <w:rsid w:val="00581926"/>
    <w:rsid w:val="00582064"/>
    <w:rsid w:val="005D3FC0"/>
    <w:rsid w:val="00600A21"/>
    <w:rsid w:val="00610931"/>
    <w:rsid w:val="00611566"/>
    <w:rsid w:val="00646D99"/>
    <w:rsid w:val="00656910"/>
    <w:rsid w:val="00691053"/>
    <w:rsid w:val="006B24C7"/>
    <w:rsid w:val="006B5930"/>
    <w:rsid w:val="006C66D8"/>
    <w:rsid w:val="006D1E24"/>
    <w:rsid w:val="006E1417"/>
    <w:rsid w:val="006F6A2C"/>
    <w:rsid w:val="007069DC"/>
    <w:rsid w:val="00710201"/>
    <w:rsid w:val="0072073A"/>
    <w:rsid w:val="0072196C"/>
    <w:rsid w:val="007342B5"/>
    <w:rsid w:val="00734A5B"/>
    <w:rsid w:val="00744E76"/>
    <w:rsid w:val="00750E9E"/>
    <w:rsid w:val="00757D40"/>
    <w:rsid w:val="00776E98"/>
    <w:rsid w:val="00781F0F"/>
    <w:rsid w:val="00786274"/>
    <w:rsid w:val="0078727C"/>
    <w:rsid w:val="0079049D"/>
    <w:rsid w:val="00793DC5"/>
    <w:rsid w:val="007A725C"/>
    <w:rsid w:val="007B18D8"/>
    <w:rsid w:val="007C095F"/>
    <w:rsid w:val="007C2DD0"/>
    <w:rsid w:val="007D7331"/>
    <w:rsid w:val="007E4D8C"/>
    <w:rsid w:val="007F2E08"/>
    <w:rsid w:val="008028A4"/>
    <w:rsid w:val="00813245"/>
    <w:rsid w:val="00853142"/>
    <w:rsid w:val="008577FA"/>
    <w:rsid w:val="0086354A"/>
    <w:rsid w:val="00864553"/>
    <w:rsid w:val="008768CA"/>
    <w:rsid w:val="00877EF9"/>
    <w:rsid w:val="00880559"/>
    <w:rsid w:val="008B5306"/>
    <w:rsid w:val="008C3057"/>
    <w:rsid w:val="008D2E4D"/>
    <w:rsid w:val="008E4DA1"/>
    <w:rsid w:val="008E6FD7"/>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A5E37"/>
    <w:rsid w:val="009B07CD"/>
    <w:rsid w:val="009C19E9"/>
    <w:rsid w:val="009D74A6"/>
    <w:rsid w:val="009F5462"/>
    <w:rsid w:val="00A10F02"/>
    <w:rsid w:val="00A204CA"/>
    <w:rsid w:val="00A209D6"/>
    <w:rsid w:val="00A5348A"/>
    <w:rsid w:val="00A53724"/>
    <w:rsid w:val="00A54B2B"/>
    <w:rsid w:val="00A64E00"/>
    <w:rsid w:val="00A82346"/>
    <w:rsid w:val="00A9671C"/>
    <w:rsid w:val="00AA1553"/>
    <w:rsid w:val="00AA421B"/>
    <w:rsid w:val="00AA67BC"/>
    <w:rsid w:val="00AD7287"/>
    <w:rsid w:val="00AF2523"/>
    <w:rsid w:val="00B05380"/>
    <w:rsid w:val="00B05962"/>
    <w:rsid w:val="00B15449"/>
    <w:rsid w:val="00B16C2F"/>
    <w:rsid w:val="00B27303"/>
    <w:rsid w:val="00B376BD"/>
    <w:rsid w:val="00B47FD1"/>
    <w:rsid w:val="00B516BB"/>
    <w:rsid w:val="00B84DB2"/>
    <w:rsid w:val="00BB611F"/>
    <w:rsid w:val="00BC3555"/>
    <w:rsid w:val="00BE3621"/>
    <w:rsid w:val="00BF0E4C"/>
    <w:rsid w:val="00C028A0"/>
    <w:rsid w:val="00C07963"/>
    <w:rsid w:val="00C12B51"/>
    <w:rsid w:val="00C1406D"/>
    <w:rsid w:val="00C24650"/>
    <w:rsid w:val="00C25465"/>
    <w:rsid w:val="00C33079"/>
    <w:rsid w:val="00C52316"/>
    <w:rsid w:val="00C83A13"/>
    <w:rsid w:val="00C9068C"/>
    <w:rsid w:val="00C92967"/>
    <w:rsid w:val="00CA3D0C"/>
    <w:rsid w:val="00CA654B"/>
    <w:rsid w:val="00CB72B8"/>
    <w:rsid w:val="00CC66CD"/>
    <w:rsid w:val="00CD4C7B"/>
    <w:rsid w:val="00CD503C"/>
    <w:rsid w:val="00CE69A2"/>
    <w:rsid w:val="00D04233"/>
    <w:rsid w:val="00D07ECD"/>
    <w:rsid w:val="00D33BE3"/>
    <w:rsid w:val="00D3792D"/>
    <w:rsid w:val="00D55E47"/>
    <w:rsid w:val="00D62E19"/>
    <w:rsid w:val="00D67CD1"/>
    <w:rsid w:val="00D717A1"/>
    <w:rsid w:val="00D738D6"/>
    <w:rsid w:val="00D80795"/>
    <w:rsid w:val="00D854BE"/>
    <w:rsid w:val="00D87E00"/>
    <w:rsid w:val="00D9134D"/>
    <w:rsid w:val="00D96D11"/>
    <w:rsid w:val="00DA7A03"/>
    <w:rsid w:val="00DB0DB8"/>
    <w:rsid w:val="00DB1818"/>
    <w:rsid w:val="00DC309B"/>
    <w:rsid w:val="00DC4DA2"/>
    <w:rsid w:val="00DC5261"/>
    <w:rsid w:val="00DE0745"/>
    <w:rsid w:val="00DE25D2"/>
    <w:rsid w:val="00E42883"/>
    <w:rsid w:val="00E46C08"/>
    <w:rsid w:val="00E471CF"/>
    <w:rsid w:val="00E62835"/>
    <w:rsid w:val="00E77645"/>
    <w:rsid w:val="00E83697"/>
    <w:rsid w:val="00EA66C9"/>
    <w:rsid w:val="00EC4A25"/>
    <w:rsid w:val="00ED36DB"/>
    <w:rsid w:val="00F01F53"/>
    <w:rsid w:val="00F025A2"/>
    <w:rsid w:val="00F036E9"/>
    <w:rsid w:val="00F07388"/>
    <w:rsid w:val="00F2026E"/>
    <w:rsid w:val="00F2210A"/>
    <w:rsid w:val="00F2287D"/>
    <w:rsid w:val="00F37743"/>
    <w:rsid w:val="00F54A3D"/>
    <w:rsid w:val="00F54CB0"/>
    <w:rsid w:val="00F56E03"/>
    <w:rsid w:val="00F579CD"/>
    <w:rsid w:val="00F653B8"/>
    <w:rsid w:val="00F71B89"/>
    <w:rsid w:val="00F7353C"/>
    <w:rsid w:val="00F74D61"/>
    <w:rsid w:val="00F76F8F"/>
    <w:rsid w:val="00F83563"/>
    <w:rsid w:val="00F941DF"/>
    <w:rsid w:val="00FA1266"/>
    <w:rsid w:val="00FB36FA"/>
    <w:rsid w:val="00FC1192"/>
    <w:rsid w:val="00FC3A82"/>
    <w:rsid w:val="00FC4AA2"/>
    <w:rsid w:val="00FD390A"/>
    <w:rsid w:val="00FE251B"/>
    <w:rsid w:val="00FF3B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F5726"/>
    <w:pPr>
      <w:ind w:left="720"/>
      <w:contextualSpacing/>
    </w:pPr>
  </w:style>
  <w:style w:type="character" w:styleId="CommentReference">
    <w:name w:val="annotation reference"/>
    <w:basedOn w:val="DefaultParagraphFont"/>
    <w:rsid w:val="00CD503C"/>
    <w:rPr>
      <w:sz w:val="16"/>
      <w:szCs w:val="16"/>
    </w:rPr>
  </w:style>
  <w:style w:type="paragraph" w:styleId="CommentText">
    <w:name w:val="annotation text"/>
    <w:basedOn w:val="Normal"/>
    <w:link w:val="CommentTextChar"/>
    <w:rsid w:val="00CD503C"/>
  </w:style>
  <w:style w:type="character" w:customStyle="1" w:styleId="CommentTextChar">
    <w:name w:val="Comment Text Char"/>
    <w:basedOn w:val="DefaultParagraphFont"/>
    <w:link w:val="CommentText"/>
    <w:rsid w:val="00CD503C"/>
    <w:rPr>
      <w:lang w:eastAsia="en-US"/>
    </w:rPr>
  </w:style>
  <w:style w:type="paragraph" w:styleId="CommentSubject">
    <w:name w:val="annotation subject"/>
    <w:basedOn w:val="CommentText"/>
    <w:next w:val="CommentText"/>
    <w:link w:val="CommentSubjectChar"/>
    <w:rsid w:val="00CD503C"/>
    <w:rPr>
      <w:b/>
      <w:bCs/>
    </w:rPr>
  </w:style>
  <w:style w:type="character" w:customStyle="1" w:styleId="CommentSubjectChar">
    <w:name w:val="Comment Subject Char"/>
    <w:basedOn w:val="CommentTextChar"/>
    <w:link w:val="CommentSubject"/>
    <w:rsid w:val="00CD503C"/>
    <w:rPr>
      <w:b/>
      <w:bCs/>
      <w:lang w:eastAsia="en-US"/>
    </w:rPr>
  </w:style>
  <w:style w:type="paragraph" w:styleId="Caption">
    <w:name w:val="caption"/>
    <w:basedOn w:val="Normal"/>
    <w:next w:val="Normal"/>
    <w:unhideWhenUsed/>
    <w:qFormat/>
    <w:rsid w:val="0028681F"/>
    <w:pPr>
      <w:spacing w:after="200"/>
    </w:pPr>
    <w:rPr>
      <w:i/>
      <w:iCs/>
      <w:color w:val="44546A" w:themeColor="text2"/>
      <w:sz w:val="18"/>
      <w:szCs w:val="18"/>
    </w:rPr>
  </w:style>
  <w:style w:type="character" w:styleId="FollowedHyperlink">
    <w:name w:val="FollowedHyperlink"/>
    <w:basedOn w:val="DefaultParagraphFont"/>
    <w:rsid w:val="00ED36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788118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7104189">
      <w:bodyDiv w:val="1"/>
      <w:marLeft w:val="0"/>
      <w:marRight w:val="0"/>
      <w:marTop w:val="0"/>
      <w:marBottom w:val="0"/>
      <w:divBdr>
        <w:top w:val="none" w:sz="0" w:space="0" w:color="auto"/>
        <w:left w:val="none" w:sz="0" w:space="0" w:color="auto"/>
        <w:bottom w:val="none" w:sz="0" w:space="0" w:color="auto"/>
        <w:right w:val="none" w:sz="0" w:space="0" w:color="auto"/>
      </w:divBdr>
      <w:divsChild>
        <w:div w:id="1727798958">
          <w:marLeft w:val="720"/>
          <w:marRight w:val="0"/>
          <w:marTop w:val="0"/>
          <w:marBottom w:val="120"/>
          <w:divBdr>
            <w:top w:val="none" w:sz="0" w:space="0" w:color="auto"/>
            <w:left w:val="none" w:sz="0" w:space="0" w:color="auto"/>
            <w:bottom w:val="none" w:sz="0" w:space="0" w:color="auto"/>
            <w:right w:val="none" w:sz="0" w:space="0" w:color="auto"/>
          </w:divBdr>
        </w:div>
        <w:div w:id="1253053583">
          <w:marLeft w:val="1094"/>
          <w:marRight w:val="0"/>
          <w:marTop w:val="0"/>
          <w:marBottom w:val="120"/>
          <w:divBdr>
            <w:top w:val="none" w:sz="0" w:space="0" w:color="auto"/>
            <w:left w:val="none" w:sz="0" w:space="0" w:color="auto"/>
            <w:bottom w:val="none" w:sz="0" w:space="0" w:color="auto"/>
            <w:right w:val="none" w:sz="0" w:space="0" w:color="auto"/>
          </w:divBdr>
        </w:div>
        <w:div w:id="1182089211">
          <w:marLeft w:val="720"/>
          <w:marRight w:val="0"/>
          <w:marTop w:val="0"/>
          <w:marBottom w:val="120"/>
          <w:divBdr>
            <w:top w:val="none" w:sz="0" w:space="0" w:color="auto"/>
            <w:left w:val="none" w:sz="0" w:space="0" w:color="auto"/>
            <w:bottom w:val="none" w:sz="0" w:space="0" w:color="auto"/>
            <w:right w:val="none" w:sz="0" w:space="0" w:color="auto"/>
          </w:divBdr>
        </w:div>
        <w:div w:id="642269159">
          <w:marLeft w:val="1094"/>
          <w:marRight w:val="0"/>
          <w:marTop w:val="0"/>
          <w:marBottom w:val="120"/>
          <w:divBdr>
            <w:top w:val="none" w:sz="0" w:space="0" w:color="auto"/>
            <w:left w:val="none" w:sz="0" w:space="0" w:color="auto"/>
            <w:bottom w:val="none" w:sz="0" w:space="0" w:color="auto"/>
            <w:right w:val="none" w:sz="0" w:space="0" w:color="auto"/>
          </w:divBdr>
        </w:div>
        <w:div w:id="1924798588">
          <w:marLeft w:val="10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5AIRPNAIUNRU-859666464-5214</_dlc_DocId>
    <_dlc_DocIdUrl xmlns="71c5aaf6-e6ce-465b-b873-5148d2a4c105">
      <Url>https://nokia.sharepoint.com/sites/c5g/e2earch/_layouts/15/DocIdRedir.aspx?ID=5AIRPNAIUNRU-859666464-5214</Url>
      <Description>5AIRPNAIUNRU-859666464-5214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openxmlformats.org/package/2006/metadata/core-properties"/>
    <ds:schemaRef ds:uri="http://purl.org/dc/terms/"/>
    <ds:schemaRef ds:uri="83f22d2f-d16e-4be6-ad4f-29fa0b067c3c"/>
    <ds:schemaRef ds:uri="http://www.w3.org/XML/1998/namespace"/>
    <ds:schemaRef ds:uri="http://schemas.microsoft.com/office/2006/metadata/properties"/>
    <ds:schemaRef ds:uri="http://purl.org/dc/elements/1.1/"/>
    <ds:schemaRef ds:uri="71c5aaf6-e6ce-465b-b873-5148d2a4c105"/>
    <ds:schemaRef ds:uri="a3840f4f-04be-43d1-b2ef-6ff1382503c7"/>
    <ds:schemaRef ds:uri="http://schemas.microsoft.com/office/2006/documentManagement/typ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0457418-CBE0-4FE2-9C22-6992EF48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856</TotalTime>
  <Pages>3</Pages>
  <Words>1587</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Nokia-GWO2</cp:lastModifiedBy>
  <cp:revision>78</cp:revision>
  <dcterms:created xsi:type="dcterms:W3CDTF">2016-08-12T03:53:00Z</dcterms:created>
  <dcterms:modified xsi:type="dcterms:W3CDTF">2019-08-15T14:22:00Z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9b625255-4ad9-4e1b-9786-6791e3526805</vt:lpwstr>
  </property>
</Properties>
</file>